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314325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328295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Commission File Number: 001-40238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314325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BitVentures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Level 15, AIA Central, No.1 Connaught Road Central</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Central, Hong Kong</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9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187960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230505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496570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03" w:right="1440" w:bottom="1440" w:gutter="0" w:footer="0" w:header="0"/>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BitVentures Limited (“BitVentures” or the “Company”) (NASDAQ: BVC) today announced its unaudited financial results for the first half of fiscal year 2026 ended December 31, 2025. A copy of the press release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333" w:right="5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BitVentures Limited</w:t>
            </w:r>
          </w:p>
        </w:tc>
        <w:tc>
          <w:tcPr>
            <w:tcW w:w="8860" w:type="dxa"/>
            <w:vAlign w:val="bottom"/>
          </w:tcPr>
          <w:p>
            <w:pPr>
              <w:spacing w:after="0"/>
              <w:rPr>
                <w:sz w:val="20"/>
                <w:szCs w:val="20"/>
                <w:color w:val="auto"/>
              </w:rPr>
            </w:pPr>
          </w:p>
        </w:tc>
      </w:tr>
      <w:tr>
        <w:trPr>
          <w:trHeight w:val="43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Lok</w:t>
            </w:r>
          </w:p>
        </w:tc>
      </w:tr>
      <w:tr>
        <w:trPr>
          <w:trHeight w:val="191"/>
        </w:trPr>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8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Lawrence Lok</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CEO</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2026 Hong Kong Time</w:t>
      </w:r>
    </w:p>
    <w:p>
      <w:pPr>
        <w:sectPr>
          <w:pgSz w:w="11900" w:h="16838" w:orient="portrait"/>
          <w:cols w:equalWidth="0" w:num="1">
            <w:col w:w="11240"/>
          </w:cols>
          <w:pgMar w:left="320" w:top="33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BitVentures Limited Announces Unaudited Financial Results for the First Half of Fiscal Year 2026</w:t>
      </w:r>
    </w:p>
    <w:p>
      <w:pPr>
        <w:spacing w:after="0" w:line="200" w:lineRule="exact"/>
        <w:rPr>
          <w:sz w:val="20"/>
          <w:szCs w:val="20"/>
          <w:color w:val="auto"/>
        </w:rPr>
      </w:pPr>
    </w:p>
    <w:p>
      <w:pPr>
        <w:spacing w:after="0" w:line="24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HONG KONG, June 16, 2026 /GlobeNewsWire/ -- BitVentures Limited (“BitVentures” or the "Company") (NASDAQ: BVC) today announced its unaudited financial results for the first half of fiscal year 2026 ended December 31, 2025.</w:t>
      </w:r>
    </w:p>
    <w:p>
      <w:pPr>
        <w:spacing w:after="0" w:line="1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BitVentures Limited is a Cayman Islands holding company, with operating subsidiaries globally including Hong Kong and the United States. We are a technology company focusing on developing early-stage technology businesses, and aim to actively build, operate and scale our businesses in order to achieve growth. The Company is currently developing businesses in e-commerce, digital assets, and may target opportunities in other areas of consumer and enterprise technology. The Company believes that early-stage technology ventures may offer exceptional growth opportunities, and seeks to identify and nurture such high-potential ventures.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 and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 Capital Restructuring and Termination of American Depositary Shares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On December 19, 2025, the Company held an Extraordinary General Meeting and passed a number of resolutions pertaining to the Company’s share capital restructuring. Following the shareholders’ approval by resolutions at the Extraordinary General Meeting, the Company terminated its Deposit Agreement dated March 25, 2021 entered into between the Company and Deutsche Bank Trust Company Americas as depositary for the Company’s ADSs, and beneficial owners and holders of ADSs issued thereunder. Immediately following the termination of the ADR Facility, the Company consolidated its shares such that every issued and unissued twenty (20) ordinary shares of par value US$0.0001 each were consolidated into one (1) ordinary share of par value US$0.0020 each (each, a “Consolidated Ordinary Share”) (the “Share Consolidation”). All outstanding ADSs were automatically cancelled and ADS holders received Consolidated Ordinary Shares at a ratio of one Consolidated Ordinary Share for each ten ADS cancelled after taking into account the ADS ratio. The Consolidated Ordinary Shares were listed for trading on Nasdaq Capital Market in substitution for its ADSs (the “Substitution Listing”) on January 5,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E-commerce Business Segment</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During first half of fiscal year 2026, the Company began official rollout of its e-commerce segment. The Company operated its e-commerce segment under a resale model, offering high-demand products such as consumer electronics via its storefront on Amazon.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Assets Segment</w:t>
      </w:r>
    </w:p>
    <w:p>
      <w:pPr>
        <w:spacing w:after="0" w:line="31"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On January 2, 2026, the Company announced that the Company’s Board has approved the official launch of its Digital Assets segment. Starting in the second half of fiscal year 2026, the Company acquired several fleets of Bitmain cryptocurrency mining machines and hosting capacity and began its cryptocurrency mining operations. The miners are hosted in various secure, high-uptime datacenters across the United States.</w:t>
      </w:r>
    </w:p>
    <w:p>
      <w:pPr>
        <w:spacing w:after="0" w:line="18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Subject to ongoing market conditions, the Company intends to continue to pursue a diversified cryptocurrency mining strategy, which may include targeting Bitcoin and select altcoins to optimize risk-adjusted profitability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Half of Fiscal Year 2026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revenues from continuing operations </w:t>
      </w:r>
      <w:r>
        <w:rPr>
          <w:rFonts w:ascii="Times New Roman" w:cs="Times New Roman" w:eastAsia="Times New Roman" w:hAnsi="Times New Roman"/>
          <w:sz w:val="18"/>
          <w:szCs w:val="18"/>
          <w:color w:val="auto"/>
        </w:rPr>
        <w:t>in the six months ended December 31, 2025 increased to US$0.3 million from nil in the same period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Company entering a new ecommerce retail business and an increase of revenue from client referral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revenue </w:t>
      </w:r>
      <w:r>
        <w:rPr>
          <w:rFonts w:ascii="Times New Roman" w:cs="Times New Roman" w:eastAsia="Times New Roman" w:hAnsi="Times New Roman"/>
          <w:sz w:val="18"/>
          <w:szCs w:val="18"/>
          <w:color w:val="auto"/>
        </w:rPr>
        <w:t>in the six months ended December 31, 2025 increased to US$0.03 million from nil in the same period of 2024, primarily due to the cost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goods sold from the new ecommerce retail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from continuing operations </w:t>
      </w:r>
      <w:r>
        <w:rPr>
          <w:rFonts w:ascii="Times New Roman" w:cs="Times New Roman" w:eastAsia="Times New Roman" w:hAnsi="Times New Roman"/>
          <w:sz w:val="18"/>
          <w:szCs w:val="18"/>
          <w:color w:val="auto"/>
        </w:rPr>
        <w:t>in the six months ended December 31, 2025 decreased by 62.3% to US$0.9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US$2.4 million in the same period of 2024, primarily due to continuing aggressive cost cutting measures that senior management undertook in the six months ended December 31, 2025 which includes an approximately US$0.6 million reduction in legal and professional fees due to the completion of a series of corporate restructuring activities in 2024 and 2025.</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Share-based compensation expenses from continuing operations </w:t>
      </w:r>
      <w:r>
        <w:rPr>
          <w:rFonts w:ascii="Times New Roman" w:cs="Times New Roman" w:eastAsia="Times New Roman" w:hAnsi="Times New Roman"/>
          <w:sz w:val="18"/>
          <w:szCs w:val="18"/>
          <w:color w:val="auto"/>
        </w:rPr>
        <w:t>in the six months ended December 31, 2025 increased to US$0.2 million from nil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of 2024, primarily due to new restricted share awards granted under the 2020 Plan in 2025.</w:t>
      </w:r>
    </w:p>
    <w:p>
      <w:pPr>
        <w:spacing w:after="0" w:line="15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income, net from continuing operations </w:t>
      </w:r>
      <w:r>
        <w:rPr>
          <w:rFonts w:ascii="Times New Roman" w:cs="Times New Roman" w:eastAsia="Times New Roman" w:hAnsi="Times New Roman"/>
          <w:sz w:val="18"/>
          <w:szCs w:val="18"/>
          <w:color w:val="auto"/>
        </w:rPr>
        <w:t>in the six months ended December 31, 2025 increased to US$0.1 million, compared to net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of US$0.01 million in the same period of 2024.</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 (expense), net from continuing operations </w:t>
      </w:r>
      <w:r>
        <w:rPr>
          <w:rFonts w:ascii="Times New Roman" w:cs="Times New Roman" w:eastAsia="Times New Roman" w:hAnsi="Times New Roman"/>
          <w:sz w:val="18"/>
          <w:szCs w:val="18"/>
          <w:color w:val="auto"/>
        </w:rPr>
        <w:t>in the six months ended December 31, 2025 were net income of US$5.4 million, primarily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recovery of previous impairment loss on bank balances of US$5.3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August 2024, the Company completely exited from its historical businesses in overseas wealth management and asset management and disposed of certain subsidiaries in Hong Kong, namely, Haiyin Insurance (Hong Kong) Co., Limited and Hywin International Insurance Broker Limited for nil consideration, and Haiyin International Asset Management Limited and Hywin Asset Management (Hong Kong) Limited for US$0.6 million. The disposal was completed on August 31, 2024. After the disposals, the Company no longer holds any financial services licenses or houses any personnel licensed to provide financial services in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BITVENTURES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80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8000" w:type="dxa"/>
            <w:vAlign w:val="bottom"/>
          </w:tcPr>
          <w:p>
            <w:pPr>
              <w:spacing w:after="0"/>
              <w:rPr>
                <w:sz w:val="16"/>
                <w:szCs w:val="16"/>
                <w:color w:val="auto"/>
              </w:rPr>
            </w:pP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200" w:type="dxa"/>
            <w:vAlign w:val="bottom"/>
          </w:tcPr>
          <w:p>
            <w:pPr>
              <w:spacing w:after="0"/>
              <w:rPr>
                <w:sz w:val="16"/>
                <w:szCs w:val="16"/>
                <w:color w:val="auto"/>
              </w:rPr>
            </w:pPr>
          </w:p>
        </w:tc>
        <w:tc>
          <w:tcPr>
            <w:tcW w:w="14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gridSpan w:val="2"/>
          </w:tcPr>
          <w:p>
            <w:pPr>
              <w:spacing w:after="0"/>
              <w:rPr>
                <w:sz w:val="16"/>
                <w:szCs w:val="16"/>
                <w:color w:val="auto"/>
              </w:rPr>
            </w:pPr>
          </w:p>
        </w:tc>
      </w:tr>
      <w:tr>
        <w:trPr>
          <w:trHeight w:val="238"/>
        </w:trPr>
        <w:tc>
          <w:tcPr>
            <w:tcW w:w="800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950</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6,826</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investments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8,791</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7,424</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 receivables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prepayments and other current assets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9,884</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14,655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9,889</w:t>
            </w: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2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(US$0.0001 par value; authorized 500,000,000 shares; issued and outstanding</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168,000,000 shares as of June 30, 2025; and US$0.0020 par value; authorized 25,000,000 shares; issued</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outstanding 8,400,000 shares as of December 31, 2025)</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0"/>
                <w:szCs w:val="20"/>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45,783</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45,947</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(36,069)</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(31,328)</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9,731</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14,636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9,889</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14,660</w:t>
            </w:r>
          </w:p>
        </w:tc>
        <w:tc>
          <w:tcPr>
            <w:tcW w:w="80" w:type="dxa"/>
            <w:vAlign w:val="bottom"/>
          </w:tcPr>
          <w:p>
            <w:pPr>
              <w:spacing w:after="0"/>
              <w:rPr>
                <w:sz w:val="21"/>
                <w:szCs w:val="21"/>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2"/>
        </w:trPr>
        <w:tc>
          <w:tcPr>
            <w:tcW w:w="80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BITVENTURES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data, or otherwise stated)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2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0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Continuing operations</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Client referral services</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E-Commerce retail</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cost and expenses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2,364</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operating cost and expenses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2,364</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(2,364)</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(757)</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(245)</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 expense</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(2,626)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4,741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(117)</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 income from continuing operations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(2,743</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for the year from discontinued operations, net of income taxes</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421</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 income and comprehensive loss for the period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(Loss)/ income per share</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From continuing and discontinued operations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Ordinary share - Basic</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(0.83)</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Ordinary share - diluted</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gridSpan w:val="3"/>
            <w:vMerge w:val="continue"/>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(0.83</w:t>
            </w:r>
          </w:p>
        </w:tc>
        <w:tc>
          <w:tcPr>
            <w:tcW w:w="200" w:type="dxa"/>
            <w:vAlign w:val="bottom"/>
            <w:tcBorders>
              <w:bottom w:val="single" w:sz="8" w:color="CCEEFF"/>
            </w:tcBorders>
            <w:vMerge w:val="continue"/>
          </w:tcPr>
          <w:p>
            <w:pPr>
              <w:spacing w:after="0"/>
              <w:rPr>
                <w:sz w:val="20"/>
                <w:szCs w:val="20"/>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From continuing operations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 - Basic</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(0.98)</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0.56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Ordinary share - diluted</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gridSpan w:val="3"/>
            <w:vMerge w:val="continue"/>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(0.98</w:t>
            </w:r>
          </w:p>
        </w:tc>
        <w:tc>
          <w:tcPr>
            <w:tcW w:w="200" w:type="dxa"/>
            <w:vAlign w:val="bottom"/>
            <w:tcBorders>
              <w:bottom w:val="single" w:sz="8" w:color="CCEEFF"/>
            </w:tcBorders>
            <w:vMerge w:val="continue"/>
          </w:tcPr>
          <w:p>
            <w:pPr>
              <w:spacing w:after="0"/>
              <w:rPr>
                <w:sz w:val="20"/>
                <w:szCs w:val="20"/>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0.56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From discontinued operations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 - Basic</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0.15</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Ordinary share - diluted</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gridSpan w:val="3"/>
            <w:vMerge w:val="continue"/>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0.15</w:t>
            </w:r>
          </w:p>
        </w:tc>
        <w:tc>
          <w:tcPr>
            <w:tcW w:w="200" w:type="dxa"/>
            <w:vAlign w:val="bottom"/>
            <w:tcBorders>
              <w:bottom w:val="single" w:sz="8" w:color="CCEEFF"/>
            </w:tcBorders>
            <w:vMerge w:val="continue"/>
          </w:tcPr>
          <w:p>
            <w:pPr>
              <w:spacing w:after="0"/>
              <w:rPr>
                <w:sz w:val="20"/>
                <w:szCs w:val="20"/>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N/A</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outstanding:</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Ordinary share - Basic</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2,800,000*</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8,400,000*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Ordinary share - Diluted</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3"/>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2,800,000*</w:t>
            </w:r>
          </w:p>
        </w:tc>
        <w:tc>
          <w:tcPr>
            <w:tcW w:w="200" w:type="dxa"/>
            <w:vAlign w:val="bottom"/>
            <w:vMerge w:val="continue"/>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8,400,000*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BITVENTURES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(LOSS)/INCOME (CONTINUED)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 thousands, except for number of shares and per share data)</w:t>
      </w:r>
    </w:p>
    <w:p>
      <w:pPr>
        <w:spacing w:after="0" w:line="207" w:lineRule="exact"/>
        <w:rPr>
          <w:sz w:val="20"/>
          <w:szCs w:val="20"/>
          <w:color w:val="auto"/>
        </w:rPr>
      </w:pPr>
    </w:p>
    <w:p>
      <w:pPr>
        <w:ind w:firstLine="8"/>
        <w:spacing w:after="0" w:line="266"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19, 2026, the Company held an Extraordinary General Meeting and shareholders approved a share consolidation such that every issued and unissued twenty (20) ordinary shares of par value US$0.0001 each will be consolidated into one (1) ordinary share of par value US$0.0020 each (the “Share Consolidation”).</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According to ASC 260 Earnings Per Share, the share consolidation requires a retroactive adjustment to the Weighted Average Shares Outstanding for all periods presented in the consolidated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BITVENTURES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data, or otherwise stated)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paid-in</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9"/>
              </w:rPr>
              <w:t>Accumulated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310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Ordinary shares</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capital</w:t>
            </w:r>
          </w:p>
        </w:tc>
        <w:tc>
          <w:tcPr>
            <w:tcW w:w="132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deficit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equity</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1720" w:type="dxa"/>
            <w:vAlign w:val="bottom"/>
            <w:tcBorders>
              <w:top w:val="single" w:sz="8" w:color="auto"/>
            </w:tcBorders>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Number of ordinary</w:t>
            </w: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shares</w:t>
            </w:r>
          </w:p>
        </w:tc>
        <w:tc>
          <w:tcPr>
            <w:tcW w:w="1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Amount</w:t>
            </w:r>
          </w:p>
        </w:tc>
        <w:tc>
          <w:tcPr>
            <w:tcW w:w="13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(US$’000)</w:t>
            </w:r>
          </w:p>
        </w:tc>
        <w:tc>
          <w:tcPr>
            <w:tcW w:w="1320" w:type="dxa"/>
            <w:vAlign w:val="bottom"/>
            <w:gridSpan w:val="2"/>
            <w:vMerge w:val="restart"/>
          </w:tcPr>
          <w:p>
            <w:pPr>
              <w:jc w:val="center"/>
              <w:ind w:right="121"/>
              <w:spacing w:after="0"/>
              <w:rPr>
                <w:sz w:val="20"/>
                <w:szCs w:val="20"/>
                <w:color w:val="auto"/>
              </w:rPr>
            </w:pPr>
            <w:r>
              <w:rPr>
                <w:rFonts w:ascii="Times New Roman" w:cs="Times New Roman" w:eastAsia="Times New Roman" w:hAnsi="Times New Roman"/>
                <w:sz w:val="18"/>
                <w:szCs w:val="18"/>
                <w:color w:val="auto"/>
                <w:w w:val="98"/>
              </w:rPr>
              <w:t>(US$’000)</w:t>
            </w: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(US$’000)</w:t>
            </w:r>
          </w:p>
        </w:tc>
        <w:tc>
          <w:tcPr>
            <w:tcW w:w="0" w:type="dxa"/>
            <w:vAlign w:val="bottom"/>
          </w:tcPr>
          <w:p>
            <w:pPr>
              <w:spacing w:after="0"/>
              <w:rPr>
                <w:sz w:val="1"/>
                <w:szCs w:val="1"/>
                <w:color w:val="auto"/>
              </w:rPr>
            </w:pPr>
          </w:p>
        </w:tc>
      </w:tr>
      <w:tr>
        <w:trPr>
          <w:trHeight w:val="228"/>
        </w:trPr>
        <w:tc>
          <w:tcPr>
            <w:tcW w:w="428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168,000,000</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45,783</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 consolidation</w:t>
            </w: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vMerge w:val="continue"/>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(159,600,000)</w:t>
            </w:r>
          </w:p>
        </w:tc>
        <w:tc>
          <w:tcPr>
            <w:tcW w:w="24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recognized in equity</w:t>
            </w:r>
          </w:p>
        </w:tc>
        <w:tc>
          <w:tcPr>
            <w:tcW w:w="1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for the period</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4,741</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2026-06-16T05:16:58Z</dcterms:created>
  <dcterms:modified xsi:type="dcterms:W3CDTF">2026-06-16T05:16:58Z</dcterms:modified>
</cp:coreProperties>
</file>