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left"/>
        <w:rPr>
          <w:caps w:val="false"/>
          <w:smallCaps w:val="false"/>
        </w:rPr>
      </w:pPr>
      <w:bookmarkStart w:id="0" w:name="sant20251217_6k.htm"/>
      <w:bookmarkStart w:id="1" w:name="kssant20251217_6k"/>
      <w:bookmarkEnd w:id="0"/>
      <w:bookmarkEnd w:id="1"/>
      <w:r>
        <w:rPr>
          <w:caps w:val="false"/>
          <w:smallCaps w:val="false"/>
        </w:rPr>
        <w:t> </w:t>
      </w:r>
    </w:p>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UNITED STATES</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SECURITIES AND EXCHANGE COMMISSION</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FORM 6-K</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REPORT OF FOREIGN PRIVATE ISSUER</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PURSUANT TO RULE 13a-16 OR 15d-16 UNDER</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THE SECURITIES EXCHANGE ACT OF 1934</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For the month of December 2025</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Commission File Number: 001-40238</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4"/>
        </w:rPr>
      </w:pPr>
      <w:r>
        <w:rPr>
          <w:rFonts w:ascii="Times New Roman" w:hAnsi="Times New Roman"/>
          <w:b/>
          <w:caps w:val="false"/>
          <w:smallCaps w:val="false"/>
          <w:sz w:val="24"/>
        </w:rPr>
        <w:t>SANTECH HOLDINGS LIMITED</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Level 15, AIA Central, No. 1 Connaught Road Central</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Central, Hong Kong</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(Address of principal executive office)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900"/>
        <w:jc w:val="left"/>
        <w:rPr>
          <w:rFonts w:ascii="Times New Roman" w:hAnsi="Times New Roman"/>
          <w:caps w:val="false"/>
          <w:smallCaps w:val="false"/>
          <w:sz w:val="20"/>
        </w:rPr>
      </w:pPr>
      <w:r>
        <w:rPr>
          <w:rFonts w:ascii="Times New Roman" w:hAnsi="Times New Roman"/>
          <w:caps w:val="false"/>
          <w:smallCaps w:val="false"/>
          <w:sz w:val="20"/>
        </w:rPr>
        <w:t>Indicate by check mark whether the registrant files or will file annual reports under cover of Form 20-F or Form 40-F.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Form 20-F ☒    Form 40-F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40" w:right="0" w:hanging="0"/>
        <w:jc w:val="left"/>
        <w:rPr>
          <w:rFonts w:ascii="Times New Roman" w:hAnsi="Times New Roman"/>
          <w:caps w:val="false"/>
          <w:smallCaps w:val="false"/>
          <w:sz w:val="20"/>
        </w:rPr>
      </w:pPr>
      <w:r>
        <w:rPr>
          <w:rFonts w:ascii="Times New Roman" w:hAnsi="Times New Roman"/>
          <w:caps w:val="false"/>
          <w:smallCaps w:val="false"/>
          <w:sz w:val="20"/>
        </w:rPr>
        <w:t>Indicate by check mark if the registrant is submitting the Form 6-K in paper as permitted by Regulation S-T Rule 101(b)(1):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40" w:right="0" w:hanging="0"/>
        <w:jc w:val="left"/>
        <w:rPr>
          <w:rFonts w:ascii="Times New Roman" w:hAnsi="Times New Roman"/>
          <w:caps w:val="false"/>
          <w:smallCaps w:val="false"/>
          <w:sz w:val="20"/>
        </w:rPr>
      </w:pPr>
      <w:r>
        <w:rPr>
          <w:rFonts w:ascii="Times New Roman" w:hAnsi="Times New Roman"/>
          <w:caps w:val="false"/>
          <w:smallCaps w:val="false"/>
          <w:sz w:val="20"/>
        </w:rPr>
        <w:t>Indicate by check mark if the registrant is submitting the Form 6-K in paper as permitted by Regulation S-T Rule 101(b)(7): ☐</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Results of the Extraordinary General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On December 19, 2025 Hong Kong Time, Santech Holdings Ltd. (“Santech” or the “Company”) (NASDAQ: STEC) held its extraordinary general Meeting (the “</w:t>
      </w:r>
      <w:r>
        <w:rPr>
          <w:rFonts w:ascii="Times New Roman" w:hAnsi="Times New Roman"/>
          <w:b/>
          <w:caps w:val="false"/>
          <w:smallCaps w:val="false"/>
          <w:sz w:val="20"/>
        </w:rPr>
        <w:t>EGM</w:t>
      </w:r>
      <w:r>
        <w:rPr>
          <w:rFonts w:ascii="Times New Roman" w:hAnsi="Times New Roman"/>
          <w:caps w:val="false"/>
          <w:smallCaps w:val="false"/>
          <w:sz w:val="20"/>
        </w:rPr>
        <w:t>”) at Level 15, AIA Central, No. 1 Connaught Road Central, Central, Hong Kong and passed the following resolutions: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28"/>
        <w:gridCol w:w="10077"/>
      </w:tblGrid>
      <w:tr>
        <w:trPr/>
        <w:tc>
          <w:tcPr>
            <w:tcW w:w="128"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w:t>
            </w:r>
          </w:p>
        </w:tc>
        <w:tc>
          <w:tcPr>
            <w:tcW w:w="10077" w:type="dxa"/>
            <w:tcBorders/>
            <w:vAlign w:val="center"/>
          </w:tcPr>
          <w:p>
            <w:pPr>
              <w:pStyle w:val="TableContents"/>
              <w:bidi w:val="0"/>
              <w:spacing w:before="0" w:after="0"/>
              <w:ind w:left="0" w:right="0" w:hanging="0"/>
              <w:jc w:val="both"/>
              <w:rPr>
                <w:caps w:val="false"/>
                <w:smallCaps w:val="false"/>
              </w:rPr>
            </w:pPr>
            <w:r>
              <w:rPr>
                <w:rFonts w:ascii="Times New Roman;Times;serif" w:hAnsi="Times New Roman;Times;serif"/>
                <w:b/>
                <w:caps w:val="false"/>
                <w:smallCaps w:val="false"/>
                <w:sz w:val="20"/>
              </w:rPr>
              <w:t>THAT</w:t>
            </w:r>
            <w:r>
              <w:rPr>
                <w:rFonts w:ascii="Times New Roman;Times;serif" w:hAnsi="Times New Roman;Times;serif"/>
                <w:caps w:val="false"/>
                <w:smallCaps w:val="false"/>
                <w:sz w:val="20"/>
              </w:rPr>
              <w:t xml:space="preserve">, </w:t>
            </w:r>
            <w:r>
              <w:rPr>
                <w:rFonts w:ascii="Times New Roman;Times;serif" w:hAnsi="Times New Roman;Times;serif"/>
                <w:b/>
                <w:caps w:val="false"/>
                <w:smallCaps w:val="false"/>
                <w:sz w:val="20"/>
              </w:rPr>
              <w:t xml:space="preserve">AS A SPECIAL RESOLUTION, </w:t>
            </w:r>
            <w:r>
              <w:rPr>
                <w:rFonts w:ascii="Times New Roman;Times;serif" w:hAnsi="Times New Roman;Times;serif"/>
                <w:caps w:val="false"/>
                <w:smallCaps w:val="false"/>
                <w:sz w:val="20"/>
              </w:rPr>
              <w:t>subject to and conditional upon the approval of the Registrar of Companies in the Cayman Islands being obtained, the existing English name of the Company shall be changed from “Santech Holdings Limited” to “BitVentures Limited”, and the existing Chinese name “</w:t>
            </w:r>
            <w:r>
              <w:rPr>
                <w:rFonts w:eastAsia="Times New Roman;Times;serif"/>
                <w:caps w:val="false"/>
                <w:smallCaps w:val="false"/>
                <w:sz w:val="20"/>
              </w:rPr>
              <w:t>三合智能控股有限公司” </w:t>
            </w:r>
            <w:r>
              <w:rPr>
                <w:rFonts w:ascii="Times New Roman;Times;serif" w:hAnsi="Times New Roman;Times;serif"/>
                <w:caps w:val="false"/>
                <w:smallCaps w:val="false"/>
                <w:sz w:val="20"/>
              </w:rPr>
              <w:t>previously adopted and registered as the dual foreign name of the Company shall no longer be adopted such that the Company will have no dual foreign name in Chinese name, with effect from the date on which the Registrar of Companies in the Cayman Islands issues the certificate of incorporation on change of name of the Company (the “</w:t>
            </w:r>
            <w:r>
              <w:rPr>
                <w:rFonts w:ascii="Times New Roman;Times;serif" w:hAnsi="Times New Roman;Times;serif"/>
                <w:b/>
                <w:caps w:val="false"/>
                <w:smallCaps w:val="false"/>
                <w:sz w:val="20"/>
              </w:rPr>
              <w:t>Change of Company Name</w:t>
            </w:r>
            <w:r>
              <w:rPr>
                <w:rFonts w:ascii="Times New Roman;Times;serif" w:hAnsi="Times New Roman;Times;serif"/>
                <w:caps w:val="false"/>
                <w:smallCaps w:val="false"/>
                <w:sz w:val="20"/>
              </w:rPr>
              <w:t>”); and that any one director of the Company and/or the registered office provider of the Company be authorized to do all such acts and things and execute and deliver all such documents, including under seal where appropriate, as he/she consider(s) necessary, desirable or expedient for the purpose of, or in connection with, the implementation of and giving effect to the Change of Company Name and to attend to any necessary registration and/or filing in the Cayman Islands for and on behalf of the Company.</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28"/>
        <w:gridCol w:w="10077"/>
      </w:tblGrid>
      <w:tr>
        <w:trPr/>
        <w:tc>
          <w:tcPr>
            <w:tcW w:w="128"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w:t>
            </w:r>
          </w:p>
        </w:tc>
        <w:tc>
          <w:tcPr>
            <w:tcW w:w="10077"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b/>
                <w:caps w:val="false"/>
                <w:smallCaps w:val="false"/>
                <w:sz w:val="20"/>
              </w:rPr>
              <w:t xml:space="preserve">THAT, </w:t>
            </w:r>
            <w:r>
              <w:rPr>
                <w:rFonts w:ascii="Times New Roman;Times;serif" w:hAnsi="Times New Roman;Times;serif"/>
                <w:caps w:val="false"/>
                <w:smallCaps w:val="false"/>
                <w:sz w:val="20"/>
              </w:rPr>
              <w:t>with immediate effect on the date of the termination of the Company’s deposit agreement dated March 25, 2021 among the Company the Depositary for the Company’s American Depositary Shares (the “</w:t>
            </w:r>
            <w:r>
              <w:rPr>
                <w:rFonts w:ascii="Times New Roman;Times;serif" w:hAnsi="Times New Roman;Times;serif"/>
                <w:b/>
                <w:caps w:val="false"/>
                <w:smallCaps w:val="false"/>
                <w:sz w:val="20"/>
              </w:rPr>
              <w:t>ADSs</w:t>
            </w:r>
            <w:r>
              <w:rPr>
                <w:rFonts w:ascii="Times New Roman;Times;serif" w:hAnsi="Times New Roman;Times;serif"/>
                <w:caps w:val="false"/>
                <w:smallCaps w:val="false"/>
                <w:sz w:val="20"/>
              </w:rPr>
              <w:t>”), and owners and holders of ADSs issued thereunder as determined by any one director of the Company in his or her absolute discretion, every issued and unissued twenty (20) ordinary shares of par value US$0.0001 each be consolidated into one (1) ordinary share of par value US$0.0020 each (the “</w:t>
            </w:r>
            <w:r>
              <w:rPr>
                <w:rFonts w:ascii="Times New Roman;Times;serif" w:hAnsi="Times New Roman;Times;serif"/>
                <w:b/>
                <w:caps w:val="false"/>
                <w:smallCaps w:val="false"/>
                <w:sz w:val="20"/>
              </w:rPr>
              <w:t>Share Consolidation</w:t>
            </w:r>
            <w:r>
              <w:rPr>
                <w:rFonts w:ascii="Times New Roman;Times;serif" w:hAnsi="Times New Roman;Times;serif"/>
                <w:caps w:val="false"/>
                <w:smallCaps w:val="false"/>
                <w:sz w:val="20"/>
              </w:rPr>
              <w:t>”), with all fractional Consolidated Shares resulting from the Share Consolidation not be issued to holders of the same, but instead any fractional interest in Consolidated Ordinary Shares that would otherwise result from the Share Consolidation shall be rounded up to the next whole share if the fractional interest is equal to or greater than one-half of a share, and rounded down to the next whole share if the fractional interest is less than one-half of a share, such that the authorized share capital of the Company will be changed from US$50,000 divided into 500,000,000 ordinary shares of par value US$0.0001 each to US$50,000 divided into 25,000,000 ordinary shares of par value US$0.0020 each.</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35"/>
        <w:gridCol w:w="10070"/>
      </w:tblGrid>
      <w:tr>
        <w:trPr/>
        <w:tc>
          <w:tcPr>
            <w:tcW w:w="13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3.</w:t>
            </w:r>
          </w:p>
        </w:tc>
        <w:tc>
          <w:tcPr>
            <w:tcW w:w="1007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b/>
                <w:caps w:val="false"/>
                <w:smallCaps w:val="false"/>
                <w:sz w:val="20"/>
              </w:rPr>
              <w:t xml:space="preserve">THAT, </w:t>
            </w:r>
            <w:r>
              <w:rPr>
                <w:rFonts w:ascii="Times New Roman;Times;serif" w:hAnsi="Times New Roman;Times;serif"/>
                <w:caps w:val="false"/>
                <w:smallCaps w:val="false"/>
                <w:sz w:val="20"/>
              </w:rPr>
              <w:t>with immediate effect on the date of and following the Share Consolidation, the authorized share capital of the Company be increased from US$50,000 divided into 25,000,000 ordinary shares of US$0.0020 par value, to US$200,000 divided into 100,000,000 ordinary shares of par value US$0.0020 each, by the creation of an additional 75,000,000 authorized ordinary shares of par value US$0.0020 each in the capital of the Company (the “</w:t>
            </w:r>
            <w:r>
              <w:rPr>
                <w:rFonts w:ascii="Times New Roman;Times;serif" w:hAnsi="Times New Roman;Times;serif"/>
                <w:b/>
                <w:caps w:val="false"/>
                <w:smallCaps w:val="false"/>
                <w:sz w:val="20"/>
              </w:rPr>
              <w:t>Increase of Authorized Share Capital</w:t>
            </w:r>
            <w:r>
              <w:rPr>
                <w:rFonts w:ascii="Times New Roman;Times;serif" w:hAnsi="Times New Roman;Times;serif"/>
                <w:caps w:val="false"/>
                <w:smallCaps w:val="false"/>
                <w:sz w:val="20"/>
              </w:rPr>
              <w: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0"/>
        <w:gridCol w:w="10055"/>
      </w:tblGrid>
      <w:tr>
        <w:trPr/>
        <w:tc>
          <w:tcPr>
            <w:tcW w:w="15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4.</w:t>
            </w:r>
          </w:p>
        </w:tc>
        <w:tc>
          <w:tcPr>
            <w:tcW w:w="1005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b/>
                <w:caps w:val="false"/>
                <w:smallCaps w:val="false"/>
                <w:sz w:val="20"/>
              </w:rPr>
              <w:t xml:space="preserve">THAT, AS A SPECIAL RESOLUTION, </w:t>
            </w:r>
            <w:r>
              <w:rPr>
                <w:rFonts w:ascii="Times New Roman;Times;serif" w:hAnsi="Times New Roman;Times;serif"/>
                <w:caps w:val="false"/>
                <w:smallCaps w:val="false"/>
                <w:sz w:val="20"/>
              </w:rPr>
              <w:t>conditional upon and with effect on all the Change of Company Name, the Share Consolidation, and the Increase of Authorized Share Capital becoming effective: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84"/>
        <w:gridCol w:w="9961"/>
      </w:tblGrid>
      <w:tr>
        <w:trPr/>
        <w:tc>
          <w:tcPr>
            <w:tcW w:w="60" w:type="dxa"/>
            <w:tcBorders/>
            <w:vAlign w:val="center"/>
          </w:tcPr>
          <w:p>
            <w:pPr>
              <w:pStyle w:val="TableContents"/>
              <w:bidi w:val="0"/>
              <w:spacing w:before="0" w:after="283"/>
              <w:jc w:val="left"/>
              <w:rPr/>
            </w:pPr>
            <w:r>
              <w:rPr/>
              <w:t> </w:t>
            </w:r>
          </w:p>
        </w:tc>
        <w:tc>
          <w:tcPr>
            <w:tcW w:w="184"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(a)</w:t>
            </w:r>
          </w:p>
        </w:tc>
        <w:tc>
          <w:tcPr>
            <w:tcW w:w="99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third amended and restated memorandum and articles of association of the Company (the “</w:t>
            </w:r>
            <w:r>
              <w:rPr>
                <w:rFonts w:ascii="Times New Roman;Times;serif" w:hAnsi="Times New Roman;Times;serif"/>
                <w:b/>
                <w:sz w:val="20"/>
              </w:rPr>
              <w:t>New M&amp;A</w:t>
            </w:r>
            <w:r>
              <w:rPr>
                <w:rFonts w:ascii="Times New Roman;Times;serif" w:hAnsi="Times New Roman;Times;serif"/>
                <w:sz w:val="20"/>
              </w:rPr>
              <w:t>”), in the form of the document marked “A” as produced at the EGM and for purpose of identification initialed by the chairman of the EGM, be approved and adopted as the memorandum and articles of association of the Company in substitution for and to the exclusion of the existing second amended and restated memorandum and articles of association of the Company;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04"/>
        <w:gridCol w:w="9941"/>
      </w:tblGrid>
      <w:tr>
        <w:trPr/>
        <w:tc>
          <w:tcPr>
            <w:tcW w:w="60" w:type="dxa"/>
            <w:tcBorders/>
            <w:vAlign w:val="center"/>
          </w:tcPr>
          <w:p>
            <w:pPr>
              <w:pStyle w:val="TableContents"/>
              <w:bidi w:val="0"/>
              <w:spacing w:before="0" w:after="283"/>
              <w:jc w:val="left"/>
              <w:rPr/>
            </w:pPr>
            <w:r>
              <w:rPr/>
              <w:t> </w:t>
            </w:r>
          </w:p>
        </w:tc>
        <w:tc>
          <w:tcPr>
            <w:tcW w:w="20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w:t>
            </w:r>
          </w:p>
        </w:tc>
        <w:tc>
          <w:tcPr>
            <w:tcW w:w="994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registered office provider of the Company be authorized and instructed to file the New M&amp;A and any special resolutions passed with the Registrar of Companies in the Cayman Islands and to do and complete all other matters ancillary to such filing as may be necessary or desirable in order to give effect to the New M&amp;A in the Cayman Islands.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153"/>
        <w:gridCol w:w="10052"/>
      </w:tblGrid>
      <w:tr>
        <w:trPr/>
        <w:tc>
          <w:tcPr>
            <w:tcW w:w="153"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5.</w:t>
            </w:r>
          </w:p>
        </w:tc>
        <w:tc>
          <w:tcPr>
            <w:tcW w:w="10052"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b/>
                <w:caps w:val="false"/>
                <w:smallCaps w:val="false"/>
                <w:sz w:val="20"/>
              </w:rPr>
              <w:t>THAT</w:t>
            </w:r>
            <w:r>
              <w:rPr>
                <w:rFonts w:ascii="Times New Roman;Times;serif" w:hAnsi="Times New Roman;Times;serif"/>
                <w:caps w:val="false"/>
                <w:smallCaps w:val="false"/>
                <w:sz w:val="20"/>
              </w:rPr>
              <w:t> Lawrence Wai LOK, a director of the Company appointed to fill a casual vacancy and offers himself for re-election, be re-appointed and re-elected as a director of the Company.</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9"/>
        <w:gridCol w:w="10056"/>
      </w:tblGrid>
      <w:tr>
        <w:trPr/>
        <w:tc>
          <w:tcPr>
            <w:tcW w:w="149"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6.</w:t>
            </w:r>
          </w:p>
        </w:tc>
        <w:tc>
          <w:tcPr>
            <w:tcW w:w="10056"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b/>
                <w:caps w:val="false"/>
                <w:smallCaps w:val="false"/>
                <w:sz w:val="20"/>
              </w:rPr>
              <w:t>THAT</w:t>
            </w:r>
            <w:r>
              <w:rPr>
                <w:rFonts w:ascii="Times New Roman;Times;serif" w:hAnsi="Times New Roman;Times;serif"/>
                <w:caps w:val="false"/>
                <w:smallCaps w:val="false"/>
                <w:sz w:val="20"/>
              </w:rPr>
              <w:t> Wing To Howard CHAN, an independent director of the Company appointed to fill a casual vacancy and offers himself for re-election, be re-appointed and re-elected as an independent director of the Company.</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1"/>
        <w:gridCol w:w="10054"/>
      </w:tblGrid>
      <w:tr>
        <w:trPr/>
        <w:tc>
          <w:tcPr>
            <w:tcW w:w="151"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7.</w:t>
            </w:r>
          </w:p>
        </w:tc>
        <w:tc>
          <w:tcPr>
            <w:tcW w:w="10054"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b/>
                <w:caps w:val="false"/>
                <w:smallCaps w:val="false"/>
                <w:sz w:val="20"/>
              </w:rPr>
              <w:t>THAT</w:t>
            </w:r>
            <w:r>
              <w:rPr>
                <w:rFonts w:ascii="Times New Roman;Times;serif" w:hAnsi="Times New Roman;Times;serif"/>
                <w:caps w:val="false"/>
                <w:smallCaps w:val="false"/>
                <w:sz w:val="20"/>
              </w:rPr>
              <w:t> Fai KAM, an independent director of the Company appointed to fill a casual vacancy and offers himself for re-election, be re-appointed and re-elected as an independent director of the Company.</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37"/>
        <w:gridCol w:w="10068"/>
      </w:tblGrid>
      <w:tr>
        <w:trPr/>
        <w:tc>
          <w:tcPr>
            <w:tcW w:w="137"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8.</w:t>
            </w:r>
          </w:p>
        </w:tc>
        <w:tc>
          <w:tcPr>
            <w:tcW w:w="10068"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b/>
                <w:caps w:val="false"/>
                <w:smallCaps w:val="false"/>
                <w:sz w:val="20"/>
              </w:rPr>
              <w:t>THAT</w:t>
            </w:r>
            <w:r>
              <w:rPr>
                <w:rFonts w:ascii="Times New Roman;Times;serif" w:hAnsi="Times New Roman;Times;serif"/>
                <w:caps w:val="false"/>
                <w:smallCaps w:val="false"/>
                <w:sz w:val="20"/>
              </w:rPr>
              <w:t> any one director and/or any one officer of the Company be authorized, approved, ratified and directed, on behalf of the Company, to execute and deliver, and (where required) to affix the common seal of the Company to, such further documents and take such further actions as such director or officer shall deem necessary, appropriate or advisable in order to carry out the intent and purposes of the foregoing resolutions.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Update on Termination of ADR Facility and Substitution Listing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As the Company previously announced, the Company plans to cease the listing of its ADSs on Nasdaq Capital Market and list its ordinary shares of a par value of US$0.0020 each post Share Consolidation for trading on Nasdaq in substitution for its ADSs (the “</w:t>
      </w:r>
      <w:r>
        <w:rPr>
          <w:rFonts w:ascii="Times New Roman" w:hAnsi="Times New Roman"/>
          <w:b/>
          <w:caps w:val="false"/>
          <w:smallCaps w:val="false"/>
          <w:sz w:val="20"/>
        </w:rPr>
        <w:t>Substitution Listing</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Depositary has announced on November 25, 2025 that at the request of the Company, the deposit agreement, dated March 25, 2021, among the Company, Deutsche Bank Trust Company Americas and beneficial owners and holders of the Company’s ADSs from time to time of American depositary receipts (the “</w:t>
      </w:r>
      <w:r>
        <w:rPr>
          <w:rFonts w:ascii="Times New Roman" w:hAnsi="Times New Roman"/>
          <w:b/>
          <w:caps w:val="false"/>
          <w:smallCaps w:val="false"/>
          <w:sz w:val="20"/>
        </w:rPr>
        <w:t>ADRs</w:t>
      </w:r>
      <w:r>
        <w:rPr>
          <w:rFonts w:ascii="Times New Roman" w:hAnsi="Times New Roman"/>
          <w:caps w:val="false"/>
          <w:smallCaps w:val="false"/>
          <w:sz w:val="20"/>
        </w:rPr>
        <w:t>”) evidencing ADSs issued thereunder will be terminated. Pursuant to the provisions of the deposit agreement, such termination will take effect at 8:00 a.m. (Eastern Time) on December 29, 2025. The Company expects that the ADSs will cease trading on Nasdaq before market opens on December 29, 2025 and will be automatically cancelled on the same day.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Immediately following the Termination of the ADR Facility, the Company will implement the Share Consolidation, pursuant to which every issued and unissued twenty (20) ordinary shares of par value US$0.0001 each be consolidated into one (1) ordinary share of par value US$0.0020 each. All fractional shares resulting from the Share Consolidation will be rounded up to the next whole share if the fractional interest is equal to or greater than one-half of a share, and rounded down to the next whole share if the fractional interest is less than one-half of a share. Each former ADS holder will be entitled to receive twenty (20) ordinary shares, with a par value of US$0.0020 each, for each ADS cancelled.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Company expects that its ordinary shares will commence trading on Nasdaq on a post-Share Consolidation basis under a new symbol of “BVC” on or around December 29, 2025. However, there remains uncertainty regarding the timing of the Substitution Listing or whether the Company will be able to obtain clearance from Nasdaq to effectuate the Substitution Listing.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 copy of the press releases issued by the registrant regarding the foregoing is filed herewith as Exhibits 99.1 and 99.2 and is incorporated herein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Exhibits</w:t>
      </w:r>
    </w:p>
    <w:p>
      <w:pPr>
        <w:pStyle w:val="TextBody"/>
        <w:bidi w:val="0"/>
        <w:spacing w:before="0" w:after="0"/>
        <w:ind w:left="0" w:right="0" w:hanging="0"/>
        <w:jc w:val="left"/>
        <w:rPr>
          <w:caps w:val="false"/>
          <w:smallCaps w:val="false"/>
        </w:rPr>
      </w:pPr>
      <w:r>
        <w:rPr>
          <w:caps w:val="false"/>
          <w:smallCaps w:val="false"/>
        </w:rPr>
        <w:t> </w:t>
      </w:r>
    </w:p>
    <w:tbl>
      <w:tblPr>
        <w:tblW w:w="3565" w:type="dxa"/>
        <w:jc w:val="left"/>
        <w:tblInd w:w="0" w:type="dxa"/>
        <w:tblLayout w:type="fixed"/>
        <w:tblCellMar>
          <w:top w:w="0" w:type="dxa"/>
          <w:left w:w="0" w:type="dxa"/>
          <w:bottom w:w="0" w:type="dxa"/>
          <w:right w:w="0" w:type="dxa"/>
        </w:tblCellMar>
      </w:tblPr>
      <w:tblGrid>
        <w:gridCol w:w="380"/>
        <w:gridCol w:w="3185"/>
      </w:tblGrid>
      <w:tr>
        <w:trPr/>
        <w:tc>
          <w:tcPr>
            <w:tcW w:w="38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99.1</w:t>
            </w:r>
          </w:p>
        </w:tc>
        <w:tc>
          <w:tcPr>
            <w:tcW w:w="3185" w:type="dxa"/>
            <w:tcBorders/>
            <w:vAlign w:val="center"/>
          </w:tcPr>
          <w:p>
            <w:pPr>
              <w:pStyle w:val="TableContents"/>
              <w:bidi w:val="0"/>
              <w:spacing w:before="0" w:after="0"/>
              <w:ind w:left="0" w:right="0" w:hanging="0"/>
              <w:jc w:val="left"/>
              <w:rPr/>
            </w:pPr>
            <w:hyperlink w:anchor="ex_901101.htm">
              <w:r>
                <w:rPr>
                  <w:rStyle w:val="InternetLink"/>
                  <w:rFonts w:ascii="Times New Roman;Times;serif" w:hAnsi="Times New Roman;Times;serif"/>
                  <w:sz w:val="20"/>
                </w:rPr>
                <w:t>Press release dated December 19, 2025.</w:t>
              </w:r>
            </w:hyperlink>
          </w:p>
        </w:tc>
      </w:tr>
    </w:tbl>
    <w:tbl>
      <w:tblPr>
        <w:tblW w:w="3565" w:type="dxa"/>
        <w:jc w:val="left"/>
        <w:tblInd w:w="0" w:type="dxa"/>
        <w:tblLayout w:type="fixed"/>
        <w:tblCellMar>
          <w:top w:w="0" w:type="dxa"/>
          <w:left w:w="0" w:type="dxa"/>
          <w:bottom w:w="0" w:type="dxa"/>
          <w:right w:w="0" w:type="dxa"/>
        </w:tblCellMar>
      </w:tblPr>
      <w:tblGrid>
        <w:gridCol w:w="380"/>
        <w:gridCol w:w="3185"/>
      </w:tblGrid>
      <w:tr>
        <w:trPr/>
        <w:tc>
          <w:tcPr>
            <w:tcW w:w="38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99.2</w:t>
            </w:r>
          </w:p>
        </w:tc>
        <w:tc>
          <w:tcPr>
            <w:tcW w:w="3185" w:type="dxa"/>
            <w:tcBorders/>
            <w:vAlign w:val="center"/>
          </w:tcPr>
          <w:p>
            <w:pPr>
              <w:pStyle w:val="TableContents"/>
              <w:bidi w:val="0"/>
              <w:spacing w:before="0" w:after="0"/>
              <w:ind w:left="0" w:right="0" w:hanging="0"/>
              <w:jc w:val="left"/>
              <w:rPr/>
            </w:pPr>
            <w:hyperlink w:anchor="ex_901102.htm">
              <w:r>
                <w:rPr>
                  <w:rStyle w:val="InternetLink"/>
                  <w:rFonts w:ascii="Times New Roman;Times;serif" w:hAnsi="Times New Roman;Times;serif"/>
                  <w:sz w:val="20"/>
                </w:rPr>
                <w:t>Press release dated December 19, 2025.</w:t>
              </w:r>
            </w:hyperlink>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SIGNATURE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tbl>
      <w:tblPr>
        <w:tblW w:w="2254" w:type="dxa"/>
        <w:jc w:val="left"/>
        <w:tblInd w:w="0" w:type="dxa"/>
        <w:tblLayout w:type="fixed"/>
        <w:tblCellMar>
          <w:top w:w="0" w:type="dxa"/>
          <w:left w:w="0" w:type="dxa"/>
          <w:bottom w:w="0" w:type="dxa"/>
          <w:right w:w="0" w:type="dxa"/>
        </w:tblCellMar>
      </w:tblPr>
      <w:tblGrid>
        <w:gridCol w:w="60"/>
        <w:gridCol w:w="559"/>
        <w:gridCol w:w="1635"/>
      </w:tblGrid>
      <w:tr>
        <w:trPr/>
        <w:tc>
          <w:tcPr>
            <w:tcW w:w="60" w:type="dxa"/>
            <w:tcBorders/>
            <w:vAlign w:val="center"/>
          </w:tcPr>
          <w:p>
            <w:pPr>
              <w:pStyle w:val="TableContents"/>
              <w:bidi w:val="0"/>
              <w:spacing w:before="0" w:after="283"/>
              <w:jc w:val="left"/>
              <w:rPr/>
            </w:pPr>
            <w:r>
              <w:rPr/>
              <w:t> </w:t>
            </w:r>
          </w:p>
        </w:tc>
        <w:tc>
          <w:tcPr>
            <w:tcW w:w="2194" w:type="dxa"/>
            <w:gridSpan w:val="2"/>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Santech Holdings Limited.</w:t>
            </w:r>
          </w:p>
        </w:tc>
      </w:tr>
      <w:tr>
        <w:trPr/>
        <w:tc>
          <w:tcPr>
            <w:tcW w:w="60" w:type="dxa"/>
            <w:tcBorders/>
            <w:vAlign w:val="center"/>
          </w:tcPr>
          <w:p>
            <w:pPr>
              <w:pStyle w:val="TableContents"/>
              <w:bidi w:val="0"/>
              <w:spacing w:before="0" w:after="283"/>
              <w:jc w:val="left"/>
              <w:rPr/>
            </w:pPr>
            <w:r>
              <w:rPr/>
              <w:t> </w:t>
            </w:r>
          </w:p>
        </w:tc>
        <w:tc>
          <w:tcPr>
            <w:tcW w:w="2194" w:type="dxa"/>
            <w:gridSpan w:val="2"/>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559"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By:</w:t>
            </w:r>
          </w:p>
        </w:tc>
        <w:tc>
          <w:tcPr>
            <w:tcW w:w="1635"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 Lawrence Lok</w:t>
            </w:r>
          </w:p>
        </w:tc>
      </w:tr>
      <w:tr>
        <w:trPr/>
        <w:tc>
          <w:tcPr>
            <w:tcW w:w="60" w:type="dxa"/>
            <w:tcBorders/>
            <w:vAlign w:val="center"/>
          </w:tcPr>
          <w:p>
            <w:pPr>
              <w:pStyle w:val="TableContents"/>
              <w:bidi w:val="0"/>
              <w:spacing w:before="0" w:after="283"/>
              <w:jc w:val="left"/>
              <w:rPr/>
            </w:pPr>
            <w:r>
              <w:rPr/>
              <w:t> </w:t>
            </w:r>
          </w:p>
        </w:tc>
        <w:tc>
          <w:tcPr>
            <w:tcW w:w="559"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Name:</w:t>
            </w:r>
          </w:p>
        </w:tc>
        <w:tc>
          <w:tcPr>
            <w:tcW w:w="163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Lawrence Lok</w:t>
            </w:r>
          </w:p>
        </w:tc>
      </w:tr>
      <w:tr>
        <w:trPr/>
        <w:tc>
          <w:tcPr>
            <w:tcW w:w="60" w:type="dxa"/>
            <w:tcBorders/>
            <w:vAlign w:val="center"/>
          </w:tcPr>
          <w:p>
            <w:pPr>
              <w:pStyle w:val="TableContents"/>
              <w:bidi w:val="0"/>
              <w:spacing w:before="0" w:after="283"/>
              <w:jc w:val="left"/>
              <w:rPr/>
            </w:pPr>
            <w:r>
              <w:rPr/>
              <w:t> </w:t>
            </w:r>
          </w:p>
        </w:tc>
        <w:tc>
          <w:tcPr>
            <w:tcW w:w="559"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Title:</w:t>
            </w:r>
          </w:p>
        </w:tc>
        <w:tc>
          <w:tcPr>
            <w:tcW w:w="163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Chairman and CEO</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Date: December 19, 2025 Hong Kong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right"/>
        <w:rPr>
          <w:rFonts w:ascii="Times New Roman;Times;serif" w:hAnsi="Times New Roman;Times;serif"/>
          <w:b/>
          <w:sz w:val="20"/>
        </w:rPr>
      </w:pPr>
      <w:bookmarkStart w:id="2" w:name="ex_901101.htm"/>
      <w:bookmarkStart w:id="3" w:name="ksex_901101"/>
      <w:bookmarkEnd w:id="2"/>
      <w:bookmarkEnd w:id="3"/>
      <w:r>
        <w:rPr>
          <w:rFonts w:ascii="Times New Roman;Times;serif" w:hAnsi="Times New Roman;Times;serif"/>
          <w:b/>
          <w:sz w:val="20"/>
        </w:rPr>
        <w:t>Exhibit 99.1</w:t>
      </w:r>
      <w:r>
        <w:br w:type="page"/>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Results of the Extraordinary General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On December 19, 2025 Hong Kong Time, Santech Holdings Ltd. (“Santech” or the “Company”) (NASDAQ: STEC) held its extraordinary general Meeting (the “</w:t>
      </w:r>
      <w:r>
        <w:rPr>
          <w:rFonts w:ascii="Times New Roman" w:hAnsi="Times New Roman"/>
          <w:b/>
          <w:caps w:val="false"/>
          <w:smallCaps w:val="false"/>
          <w:sz w:val="20"/>
        </w:rPr>
        <w:t>EGM</w:t>
      </w:r>
      <w:r>
        <w:rPr>
          <w:rFonts w:ascii="Times New Roman" w:hAnsi="Times New Roman"/>
          <w:caps w:val="false"/>
          <w:smallCaps w:val="false"/>
          <w:sz w:val="20"/>
        </w:rPr>
        <w:t>”) at Level 15, AIA Central, No. 1 Connaught Road Central, Central, Hong Kong and passed the following resolutions: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28"/>
        <w:gridCol w:w="10077"/>
      </w:tblGrid>
      <w:tr>
        <w:trPr/>
        <w:tc>
          <w:tcPr>
            <w:tcW w:w="128"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w:t>
            </w:r>
          </w:p>
        </w:tc>
        <w:tc>
          <w:tcPr>
            <w:tcW w:w="10077" w:type="dxa"/>
            <w:tcBorders/>
            <w:vAlign w:val="center"/>
          </w:tcPr>
          <w:p>
            <w:pPr>
              <w:pStyle w:val="TableContents"/>
              <w:bidi w:val="0"/>
              <w:spacing w:before="0" w:after="0"/>
              <w:ind w:left="0" w:right="0" w:hanging="0"/>
              <w:jc w:val="both"/>
              <w:rPr>
                <w:caps w:val="false"/>
                <w:smallCaps w:val="false"/>
              </w:rPr>
            </w:pPr>
            <w:r>
              <w:rPr>
                <w:rFonts w:ascii="Times New Roman;Times;serif" w:hAnsi="Times New Roman;Times;serif"/>
                <w:b/>
                <w:caps w:val="false"/>
                <w:smallCaps w:val="false"/>
                <w:sz w:val="20"/>
              </w:rPr>
              <w:t>THAT</w:t>
            </w:r>
            <w:r>
              <w:rPr>
                <w:rFonts w:ascii="Times New Roman;Times;serif" w:hAnsi="Times New Roman;Times;serif"/>
                <w:caps w:val="false"/>
                <w:smallCaps w:val="false"/>
                <w:sz w:val="20"/>
              </w:rPr>
              <w:t xml:space="preserve">, </w:t>
            </w:r>
            <w:r>
              <w:rPr>
                <w:rFonts w:ascii="Times New Roman;Times;serif" w:hAnsi="Times New Roman;Times;serif"/>
                <w:b/>
                <w:caps w:val="false"/>
                <w:smallCaps w:val="false"/>
                <w:sz w:val="20"/>
              </w:rPr>
              <w:t xml:space="preserve">AS A SPECIAL RESOLUTION, </w:t>
            </w:r>
            <w:r>
              <w:rPr>
                <w:rFonts w:ascii="Times New Roman;Times;serif" w:hAnsi="Times New Roman;Times;serif"/>
                <w:caps w:val="false"/>
                <w:smallCaps w:val="false"/>
                <w:sz w:val="20"/>
              </w:rPr>
              <w:t>subject to and conditional upon the approval of the Registrar of Companies in the Cayman Islands being obtained, the existing English name of the Company shall be changed from “Santech Holdings Limited” to “BitVentures Limited”, and the existing Chinese name “</w:t>
            </w:r>
            <w:r>
              <w:rPr>
                <w:rFonts w:eastAsia="Times New Roman;Times;serif"/>
                <w:caps w:val="false"/>
                <w:smallCaps w:val="false"/>
                <w:sz w:val="20"/>
              </w:rPr>
              <w:t>三合智能控股有限公司” </w:t>
            </w:r>
            <w:r>
              <w:rPr>
                <w:rFonts w:ascii="Times New Roman;Times;serif" w:hAnsi="Times New Roman;Times;serif"/>
                <w:caps w:val="false"/>
                <w:smallCaps w:val="false"/>
                <w:sz w:val="20"/>
              </w:rPr>
              <w:t>previously adopted and registered as the dual foreign name of the Company shall no longer be adopted such that the Company will have no dual foreign name in Chinese name, with effect from the date on which the Registrar of Companies in the Cayman Islands issues the certificate of incorporation on change of name of the Company (the “</w:t>
            </w:r>
            <w:r>
              <w:rPr>
                <w:rFonts w:ascii="Times New Roman;Times;serif" w:hAnsi="Times New Roman;Times;serif"/>
                <w:b/>
                <w:caps w:val="false"/>
                <w:smallCaps w:val="false"/>
                <w:sz w:val="20"/>
              </w:rPr>
              <w:t>Change of Company Name</w:t>
            </w:r>
            <w:r>
              <w:rPr>
                <w:rFonts w:ascii="Times New Roman;Times;serif" w:hAnsi="Times New Roman;Times;serif"/>
                <w:caps w:val="false"/>
                <w:smallCaps w:val="false"/>
                <w:sz w:val="20"/>
              </w:rPr>
              <w:t>”); and that any one director of the Company and/or the registered office provider of the Company be authorized to do all such acts and things and execute and deliver all such documents, including under seal where appropriate, as he/she consider(s) necessary, desirable or expedient for the purpose of, or in connection with, the implementation of and giving effect to the Change of Company Name and to attend to any necessary registration and/or filing in the Cayman Islands for and on behalf of the Company.</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28"/>
        <w:gridCol w:w="10077"/>
      </w:tblGrid>
      <w:tr>
        <w:trPr/>
        <w:tc>
          <w:tcPr>
            <w:tcW w:w="128"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w:t>
            </w:r>
          </w:p>
        </w:tc>
        <w:tc>
          <w:tcPr>
            <w:tcW w:w="10077"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b/>
                <w:caps w:val="false"/>
                <w:smallCaps w:val="false"/>
                <w:sz w:val="20"/>
              </w:rPr>
              <w:t xml:space="preserve">THAT, </w:t>
            </w:r>
            <w:r>
              <w:rPr>
                <w:rFonts w:ascii="Times New Roman;Times;serif" w:hAnsi="Times New Roman;Times;serif"/>
                <w:caps w:val="false"/>
                <w:smallCaps w:val="false"/>
                <w:sz w:val="20"/>
              </w:rPr>
              <w:t>with immediate effect on the date of the termination of the Company’s deposit agreement dated March 25, 2021 among the Company the Depositary for the Company’s American Depositary Shares (the “</w:t>
            </w:r>
            <w:r>
              <w:rPr>
                <w:rFonts w:ascii="Times New Roman;Times;serif" w:hAnsi="Times New Roman;Times;serif"/>
                <w:b/>
                <w:caps w:val="false"/>
                <w:smallCaps w:val="false"/>
                <w:sz w:val="20"/>
              </w:rPr>
              <w:t>ADSs</w:t>
            </w:r>
            <w:r>
              <w:rPr>
                <w:rFonts w:ascii="Times New Roman;Times;serif" w:hAnsi="Times New Roman;Times;serif"/>
                <w:caps w:val="false"/>
                <w:smallCaps w:val="false"/>
                <w:sz w:val="20"/>
              </w:rPr>
              <w:t>”), and owners and holders of ADSs issued thereunder as determined by any one director of the Company in his or her absolute discretion, every issued and unissued twenty (20) ordinary shares of par value US$0.0001 each be consolidated into one (1) ordinary share of par value US$0.0020 each (the “</w:t>
            </w:r>
            <w:r>
              <w:rPr>
                <w:rFonts w:ascii="Times New Roman;Times;serif" w:hAnsi="Times New Roman;Times;serif"/>
                <w:b/>
                <w:caps w:val="false"/>
                <w:smallCaps w:val="false"/>
                <w:sz w:val="20"/>
              </w:rPr>
              <w:t>Share Consolidation</w:t>
            </w:r>
            <w:r>
              <w:rPr>
                <w:rFonts w:ascii="Times New Roman;Times;serif" w:hAnsi="Times New Roman;Times;serif"/>
                <w:caps w:val="false"/>
                <w:smallCaps w:val="false"/>
                <w:sz w:val="20"/>
              </w:rPr>
              <w:t>”), with all fractional Consolidated Shares resulting from the Share Consolidation not be issued to holders of the same, but instead any fractional interest in Consolidated Ordinary Shares that would otherwise result from the Share Consolidation shall be rounded up to the next whole share if the fractional interest is equal to or greater than one-half of a share, and rounded down to the next whole share if the fractional interest is less than one-half of a share, such that the authorized share capital of the Company will be changed from US$50,000 divided into 500,000,000 ordinary shares of par value US$0.0001 each to US$50,000 divided into 25,000,000 ordinary shares of par value US$0.0020 each.</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35"/>
        <w:gridCol w:w="10070"/>
      </w:tblGrid>
      <w:tr>
        <w:trPr/>
        <w:tc>
          <w:tcPr>
            <w:tcW w:w="13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3.</w:t>
            </w:r>
          </w:p>
        </w:tc>
        <w:tc>
          <w:tcPr>
            <w:tcW w:w="1007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b/>
                <w:caps w:val="false"/>
                <w:smallCaps w:val="false"/>
                <w:sz w:val="20"/>
              </w:rPr>
              <w:t xml:space="preserve">THAT, </w:t>
            </w:r>
            <w:r>
              <w:rPr>
                <w:rFonts w:ascii="Times New Roman;Times;serif" w:hAnsi="Times New Roman;Times;serif"/>
                <w:caps w:val="false"/>
                <w:smallCaps w:val="false"/>
                <w:sz w:val="20"/>
              </w:rPr>
              <w:t>with immediate effect on the date of and following the Share Consolidation, the authorized share capital of the Company be increased from US$50,000 divided into 25,000,000 ordinary shares of US$0.0020 par value, to US$200,000 divided into 100,000,000 ordinary shares of par value US$0.0020 each, by the creation of an additional 75,000,000 authorized ordinary shares of par value US$0.0020 each in the capital of the Company (the “</w:t>
            </w:r>
            <w:r>
              <w:rPr>
                <w:rFonts w:ascii="Times New Roman;Times;serif" w:hAnsi="Times New Roman;Times;serif"/>
                <w:b/>
                <w:caps w:val="false"/>
                <w:smallCaps w:val="false"/>
                <w:sz w:val="20"/>
              </w:rPr>
              <w:t>Increase of Authorized Share Capital</w:t>
            </w:r>
            <w:r>
              <w:rPr>
                <w:rFonts w:ascii="Times New Roman;Times;serif" w:hAnsi="Times New Roman;Times;serif"/>
                <w:caps w:val="false"/>
                <w:smallCaps w:val="false"/>
                <w:sz w:val="20"/>
              </w:rPr>
              <w: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0"/>
        <w:gridCol w:w="10055"/>
      </w:tblGrid>
      <w:tr>
        <w:trPr/>
        <w:tc>
          <w:tcPr>
            <w:tcW w:w="15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4.</w:t>
            </w:r>
          </w:p>
        </w:tc>
        <w:tc>
          <w:tcPr>
            <w:tcW w:w="1005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b/>
                <w:caps w:val="false"/>
                <w:smallCaps w:val="false"/>
                <w:sz w:val="20"/>
              </w:rPr>
              <w:t xml:space="preserve">THAT, AS A SPECIAL RESOLUTION, </w:t>
            </w:r>
            <w:r>
              <w:rPr>
                <w:rFonts w:ascii="Times New Roman;Times;serif" w:hAnsi="Times New Roman;Times;serif"/>
                <w:caps w:val="false"/>
                <w:smallCaps w:val="false"/>
                <w:sz w:val="20"/>
              </w:rPr>
              <w:t>conditional upon and with effect on all the Change of Company Name, the Share Consolidation, and the Increase of Authorized Share Capital becoming effective: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84"/>
        <w:gridCol w:w="9961"/>
      </w:tblGrid>
      <w:tr>
        <w:trPr/>
        <w:tc>
          <w:tcPr>
            <w:tcW w:w="60" w:type="dxa"/>
            <w:tcBorders/>
            <w:vAlign w:val="center"/>
          </w:tcPr>
          <w:p>
            <w:pPr>
              <w:pStyle w:val="TableContents"/>
              <w:bidi w:val="0"/>
              <w:spacing w:before="0" w:after="283"/>
              <w:jc w:val="left"/>
              <w:rPr/>
            </w:pPr>
            <w:r>
              <w:rPr/>
              <w:t> </w:t>
            </w:r>
          </w:p>
        </w:tc>
        <w:tc>
          <w:tcPr>
            <w:tcW w:w="184"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(a)</w:t>
            </w:r>
          </w:p>
        </w:tc>
        <w:tc>
          <w:tcPr>
            <w:tcW w:w="99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third amended and restated memorandum and articles of association of the Company (the “</w:t>
            </w:r>
            <w:r>
              <w:rPr>
                <w:rFonts w:ascii="Times New Roman;Times;serif" w:hAnsi="Times New Roman;Times;serif"/>
                <w:b/>
                <w:sz w:val="20"/>
              </w:rPr>
              <w:t>New M&amp;A</w:t>
            </w:r>
            <w:r>
              <w:rPr>
                <w:rFonts w:ascii="Times New Roman;Times;serif" w:hAnsi="Times New Roman;Times;serif"/>
                <w:sz w:val="20"/>
              </w:rPr>
              <w:t>”), in the form of the document marked “A” as produced at the EGM and for purpose of identification initialed by the chairman of the EGM, be approved and adopted as the memorandum and articles of association of the Company in substitution for and to the exclusion of the existing second amended and restated memorandum and articles of association of the Company;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04"/>
        <w:gridCol w:w="9941"/>
      </w:tblGrid>
      <w:tr>
        <w:trPr/>
        <w:tc>
          <w:tcPr>
            <w:tcW w:w="60" w:type="dxa"/>
            <w:tcBorders/>
            <w:vAlign w:val="center"/>
          </w:tcPr>
          <w:p>
            <w:pPr>
              <w:pStyle w:val="TableContents"/>
              <w:bidi w:val="0"/>
              <w:spacing w:before="0" w:after="283"/>
              <w:jc w:val="left"/>
              <w:rPr/>
            </w:pPr>
            <w:r>
              <w:rPr/>
              <w:t> </w:t>
            </w:r>
          </w:p>
        </w:tc>
        <w:tc>
          <w:tcPr>
            <w:tcW w:w="20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w:t>
            </w:r>
          </w:p>
        </w:tc>
        <w:tc>
          <w:tcPr>
            <w:tcW w:w="994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registered office provider of the Company be authorized and instructed to file the New M&amp;A and any special resolutions passed with the Registrar of Companies in the Cayman Islands and to do and complete all other matters ancillary to such filing as may be necessary or desirable in order to give effect to the New M&amp;A in the Cayman Islands.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3"/>
        <w:gridCol w:w="10052"/>
      </w:tblGrid>
      <w:tr>
        <w:trPr/>
        <w:tc>
          <w:tcPr>
            <w:tcW w:w="153"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5.</w:t>
            </w:r>
          </w:p>
        </w:tc>
        <w:tc>
          <w:tcPr>
            <w:tcW w:w="10052"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b/>
                <w:caps w:val="false"/>
                <w:smallCaps w:val="false"/>
                <w:sz w:val="20"/>
              </w:rPr>
              <w:t>THAT</w:t>
            </w:r>
            <w:r>
              <w:rPr>
                <w:rFonts w:ascii="Times New Roman;Times;serif" w:hAnsi="Times New Roman;Times;serif"/>
                <w:caps w:val="false"/>
                <w:smallCaps w:val="false"/>
                <w:sz w:val="20"/>
              </w:rPr>
              <w:t> Lawrence Wai LOK, a director of the Company appointed to fill a casual vacancy and offers himself for re-election, be re-appointed and re-elected as a director of the Company.</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9"/>
        <w:gridCol w:w="10056"/>
      </w:tblGrid>
      <w:tr>
        <w:trPr/>
        <w:tc>
          <w:tcPr>
            <w:tcW w:w="149"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6.</w:t>
            </w:r>
          </w:p>
        </w:tc>
        <w:tc>
          <w:tcPr>
            <w:tcW w:w="10056"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b/>
                <w:caps w:val="false"/>
                <w:smallCaps w:val="false"/>
                <w:sz w:val="20"/>
              </w:rPr>
              <w:t>THAT</w:t>
            </w:r>
            <w:r>
              <w:rPr>
                <w:rFonts w:ascii="Times New Roman;Times;serif" w:hAnsi="Times New Roman;Times;serif"/>
                <w:caps w:val="false"/>
                <w:smallCaps w:val="false"/>
                <w:sz w:val="20"/>
              </w:rPr>
              <w:t> Wing To Howard CHAN, an independent director of the Company appointed to fill a casual vacancy and offers himself for re-election, be re-appointed and re-elected as an independent director of the Company.</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1"/>
        <w:gridCol w:w="10054"/>
      </w:tblGrid>
      <w:tr>
        <w:trPr/>
        <w:tc>
          <w:tcPr>
            <w:tcW w:w="151"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7.</w:t>
            </w:r>
          </w:p>
        </w:tc>
        <w:tc>
          <w:tcPr>
            <w:tcW w:w="10054"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b/>
                <w:caps w:val="false"/>
                <w:smallCaps w:val="false"/>
                <w:sz w:val="20"/>
              </w:rPr>
              <w:t>THAT</w:t>
            </w:r>
            <w:r>
              <w:rPr>
                <w:rFonts w:ascii="Times New Roman;Times;serif" w:hAnsi="Times New Roman;Times;serif"/>
                <w:caps w:val="false"/>
                <w:smallCaps w:val="false"/>
                <w:sz w:val="20"/>
              </w:rPr>
              <w:t> Fai KAM, an independent director of the Company appointed to fill a casual vacancy and offers himself for re-election, be re-appointed and re-elected as an independent director of the Company.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137"/>
        <w:gridCol w:w="10068"/>
      </w:tblGrid>
      <w:tr>
        <w:trPr/>
        <w:tc>
          <w:tcPr>
            <w:tcW w:w="137"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8.</w:t>
            </w:r>
          </w:p>
        </w:tc>
        <w:tc>
          <w:tcPr>
            <w:tcW w:w="10068"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b/>
                <w:caps w:val="false"/>
                <w:smallCaps w:val="false"/>
                <w:sz w:val="20"/>
              </w:rPr>
              <w:t>THAT</w:t>
            </w:r>
            <w:r>
              <w:rPr>
                <w:rFonts w:ascii="Times New Roman;Times;serif" w:hAnsi="Times New Roman;Times;serif"/>
                <w:caps w:val="false"/>
                <w:smallCaps w:val="false"/>
                <w:sz w:val="20"/>
              </w:rPr>
              <w:t> any one director and/or any one officer of the Company be authorized, approved, ratified and directed, on behalf of the Company, to execute and deliver, and (where required) to affix the common seal of the Company to, such further documents and take such further actions as such director or officer shall deem necessary, appropriate or advisable in order to carry out the intent and purposes of the foregoing resolutions.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Safe Harbor Statement</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This press release contains statements that may constitute “forward-looking” statements pursuant to the “safe harbor” provisions of the U.S. Private Securities Litigation Reform Act of 1995. These forward-looking statements can be identified by terminology such as “anticipate,” “estimate,” “forecast,” “plan,” “project,” “potential,” “continue,” “ongoing,” “expect,” “aim,” “believe,” “intend,” “may,” “should,” “will,” “is/are likely to,” “could” and similar statements. Statements that are not historical facts, including statements about the Company's beliefs, plans, and expectations, are forward looking statements. Forward-looking statements involve inherent risks and uncertainties. Further information regarding these and other risks is included in the Company's filings with the SEC. All information provided in this press release is as of the date of this press release, and the Company does not undertake any obligation to update any forward-looking statement, except as required under applicable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Investor Contact:</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Santech Holdings Limited</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 xml:space="preserve">Email: </w:t>
      </w:r>
      <w:r>
        <w:rPr>
          <w:rFonts w:ascii="Times New Roman" w:hAnsi="Times New Roman"/>
          <w:caps w:val="false"/>
          <w:smallCaps w:val="false"/>
          <w:sz w:val="20"/>
          <w:u w:val="single"/>
        </w:rPr>
        <w:t>ir@santechholdings.com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right"/>
        <w:rPr>
          <w:rFonts w:ascii="Times New Roman;Times;serif" w:hAnsi="Times New Roman;Times;serif"/>
          <w:b/>
          <w:sz w:val="20"/>
        </w:rPr>
      </w:pPr>
      <w:bookmarkStart w:id="4" w:name="ex_901102.htm"/>
      <w:bookmarkStart w:id="5" w:name="ksex_901102"/>
      <w:bookmarkEnd w:id="4"/>
      <w:bookmarkEnd w:id="5"/>
      <w:r>
        <w:rPr>
          <w:rFonts w:ascii="Times New Roman;Times;serif" w:hAnsi="Times New Roman;Times;serif"/>
          <w:b/>
          <w:sz w:val="20"/>
        </w:rPr>
        <w:t>Exhibit 99.2</w:t>
      </w:r>
      <w:r>
        <w:br w:type="page"/>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Update on Termination of ADR Facility and Substitution Listing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 xml:space="preserve">HONG KONG, December 19 2025 </w:t>
      </w:r>
      <w:r>
        <w:rPr>
          <w:rFonts w:ascii="Times New Roman" w:hAnsi="Times New Roman"/>
          <w:caps w:val="false"/>
          <w:smallCaps w:val="false"/>
          <w:sz w:val="20"/>
        </w:rPr>
        <w:t>– On December 19, Santech Holdings Limited (“</w:t>
      </w:r>
      <w:r>
        <w:rPr>
          <w:rFonts w:ascii="Times New Roman" w:hAnsi="Times New Roman"/>
          <w:b/>
          <w:caps w:val="false"/>
          <w:smallCaps w:val="false"/>
          <w:sz w:val="20"/>
        </w:rPr>
        <w:t>Santech</w:t>
      </w:r>
      <w:r>
        <w:rPr>
          <w:rFonts w:ascii="Times New Roman" w:hAnsi="Times New Roman"/>
          <w:caps w:val="false"/>
          <w:smallCaps w:val="false"/>
          <w:sz w:val="20"/>
        </w:rPr>
        <w:t>” or the “</w:t>
      </w:r>
      <w:r>
        <w:rPr>
          <w:rFonts w:ascii="Times New Roman" w:hAnsi="Times New Roman"/>
          <w:b/>
          <w:caps w:val="false"/>
          <w:smallCaps w:val="false"/>
          <w:sz w:val="20"/>
        </w:rPr>
        <w:t>Company</w:t>
      </w:r>
      <w:r>
        <w:rPr>
          <w:rFonts w:ascii="Times New Roman" w:hAnsi="Times New Roman"/>
          <w:caps w:val="false"/>
          <w:smallCaps w:val="false"/>
          <w:sz w:val="20"/>
        </w:rPr>
        <w:t>”) (NASDAQ: STEC) announced that as the Company previously announced, the Company plans to cease the listing of its ADSs on Nasdaq Capital Market and list its ordinary shares of a par value of US$0.0020 each post Share Consolidation for trading on Nasdaq in substitution for its ADSs (the “</w:t>
      </w:r>
      <w:r>
        <w:rPr>
          <w:rFonts w:ascii="Times New Roman" w:hAnsi="Times New Roman"/>
          <w:b/>
          <w:caps w:val="false"/>
          <w:smallCaps w:val="false"/>
          <w:sz w:val="20"/>
        </w:rPr>
        <w:t>Substitution Listing</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Depositary has announced on November 25, 2025 that at the request of the Company, the deposit agreement, dated March 25, 2021, among the Company, Deutsche Bank Trust Company Americas and beneficial owners and holders of the Company’s ADSs from time to time of American depositary receipts (the “</w:t>
      </w:r>
      <w:r>
        <w:rPr>
          <w:rFonts w:ascii="Times New Roman" w:hAnsi="Times New Roman"/>
          <w:b/>
          <w:caps w:val="false"/>
          <w:smallCaps w:val="false"/>
          <w:sz w:val="20"/>
        </w:rPr>
        <w:t>ADRs</w:t>
      </w:r>
      <w:r>
        <w:rPr>
          <w:rFonts w:ascii="Times New Roman" w:hAnsi="Times New Roman"/>
          <w:caps w:val="false"/>
          <w:smallCaps w:val="false"/>
          <w:sz w:val="20"/>
        </w:rPr>
        <w:t>”) evidencing ADSs issued thereunder will be terminated. Pursuant to the provisions of the deposit agreement, such termination will take effect at 8:00 a.m. (Eastern Time) on December 29, 2025. The Company expects that the ADSs will cease trading on Nasdaq before market opens on December 29, 2025 and will be automatically cancelled on the same day.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Immediately following the Termination of the ADR Facility, the Company will implement the Share Consolidation, pursuant to which every issued and unissued twenty (20) ordinary shares of par value US$0.0001 each be consolidated into one (1) ordinary share of par value US$0.0020 each. All fractional shares resulting from the Share Consolidation will be rounded up to the next whole share if the fractional interest is equal to or greater than one-half of a share, and rounded down to the next whole share if the fractional interest is less than one-half of a share. Each former ADS holder will be entitled to receive twenty (20) ordinary shares, with a par value of US$0.0020 each, for each ADS cancelled.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Company expects that its ordinary shares will commence trading on Nasdaq on a post-Share Consolidation basis under a new symbol of “BVC” on or around December 29, 2025. However, there remains uncertainty regarding the timing of the Substitution Listing or whether the Company will be able to obtain clearance from Nasdaq to effectuate the Substitution Listing.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About Santech Holdings Limited</w:t>
      </w:r>
      <w:r>
        <w:rPr>
          <w:rFonts w:ascii="Times New Roman" w:hAnsi="Times New Roman"/>
          <w:caps w:val="false"/>
          <w:smallCaps w:val="false"/>
          <w:sz w:val="20"/>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 xml:space="preserve">Santech Holdings Limited (NASDAQ: STEC) is a technology-focused company. The Company is actively developing technology businesses in verticals including e-commerce, digital assets, consumer healthcare, and other areas of consumer and enterprise technology. The Company believes that early-stage technology ventures may offer exceptional growth opportunities, and seeks to identify and nurture such high-potential ventures. For more information, please visit </w:t>
      </w:r>
      <w:r>
        <w:rPr>
          <w:rFonts w:ascii="Times New Roman" w:hAnsi="Times New Roman"/>
          <w:caps w:val="false"/>
          <w:smallCaps w:val="false"/>
          <w:sz w:val="20"/>
          <w:u w:val="single"/>
        </w:rPr>
        <w:t>https://ir.santechholdings.com</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Safe Harbor Statement</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This press release contains statements that may constitute “forward-looking” statements pursuant to the “safe harbor” provisions of the U.S. Private Securities Litigation Reform Act of 1995. These forward-looking statements can be identified by terminology such as “anticipate,” “estimate,” “forecast,” “plan,” “project,” “potential,” “continue,” “ongoing,” “expect,” “aim,” “believe,” “intend,” “may,” “should,” “will,” “is/are likely to,” “could” and similar statements. Statements that are not historical facts, including statements about the Company's beliefs, plans, and expectations, are forward looking statements. Forward-looking statements involve inherent risks and uncertainties. Further information regarding these and other risks is included in the Company's filings with the SEC. All information provided in this press release is as of the date of this press release, and the Company does not undertake any obligation to update any forward-looking statement, except as required under applicable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Investor Contact:</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Santech Holdings Limited</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 xml:space="preserve">Email: </w:t>
      </w:r>
      <w:r>
        <w:rPr>
          <w:rFonts w:ascii="Times New Roman" w:hAnsi="Times New Roman"/>
          <w:caps w:val="false"/>
          <w:smallCaps w:val="false"/>
          <w:sz w:val="20"/>
          <w:u w:val="single"/>
        </w:rPr>
        <w:t>ir@santechholdings.com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2988</Words>
  <Characters>15893</Characters>
  <CharactersWithSpaces>18856</CharactersWithSpaces>
  <Paragraphs>194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